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2"/>
        <w:ind w:left="431" w:right="0" w:firstLine="0"/>
        <w:jc w:val="left"/>
        <w:rPr>
          <w:rFonts w:hint="eastAsia" w:ascii="黑体" w:eastAsia="黑体"/>
          <w:sz w:val="32"/>
        </w:rPr>
      </w:pPr>
    </w:p>
    <w:p>
      <w:pPr>
        <w:spacing w:before="32"/>
        <w:ind w:left="431" w:right="0" w:firstLine="0"/>
        <w:jc w:val="left"/>
        <w:rPr>
          <w:rFonts w:hint="eastAsia" w:ascii="黑体" w:eastAsia="黑体"/>
          <w:sz w:val="32"/>
        </w:rPr>
      </w:pPr>
    </w:p>
    <w:p>
      <w:pPr>
        <w:spacing w:before="32"/>
        <w:ind w:left="-880" w:leftChars="-400" w:right="-829" w:rightChars="-377" w:firstLine="0" w:firstLineChars="0"/>
        <w:jc w:val="center"/>
        <w:rPr>
          <w:rFonts w:hint="eastAsia" w:ascii="方正小标宋简体" w:hAnsi="方正小标宋简体" w:eastAsia="方正小标宋简体" w:cs="方正小标宋简体"/>
          <w:sz w:val="40"/>
          <w:szCs w:val="40"/>
          <w:highlight w:val="none"/>
        </w:rPr>
      </w:pPr>
      <w:r>
        <w:rPr>
          <w:rFonts w:hint="eastAsia" w:ascii="微软雅黑" w:hAnsi="微软雅黑" w:eastAsia="微软雅黑" w:cs="微软雅黑"/>
          <w:kern w:val="0"/>
          <w:sz w:val="32"/>
          <w:szCs w:val="32"/>
          <w:lang w:val="en-US" w:eastAsia="zh-CN"/>
        </w:rPr>
        <w:drawing>
          <wp:anchor distT="0" distB="0" distL="114935" distR="114935" simplePos="0" relativeHeight="251659264" behindDoc="0" locked="0" layoutInCell="1" allowOverlap="1">
            <wp:simplePos x="0" y="0"/>
            <wp:positionH relativeFrom="column">
              <wp:posOffset>-238760</wp:posOffset>
            </wp:positionH>
            <wp:positionV relativeFrom="paragraph">
              <wp:posOffset>-520700</wp:posOffset>
            </wp:positionV>
            <wp:extent cx="1329055" cy="346075"/>
            <wp:effectExtent l="0" t="0" r="4445" b="15875"/>
            <wp:wrapSquare wrapText="bothSides"/>
            <wp:docPr id="4" name="图片 3" descr="纯红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纯红 logo"/>
                    <pic:cNvPicPr>
                      <a:picLocks noChangeAspect="1"/>
                    </pic:cNvPicPr>
                  </pic:nvPicPr>
                  <pic:blipFill>
                    <a:blip r:embed="rId6"/>
                    <a:stretch>
                      <a:fillRect/>
                    </a:stretch>
                  </pic:blipFill>
                  <pic:spPr>
                    <a:xfrm>
                      <a:off x="0" y="0"/>
                      <a:ext cx="1329055" cy="346075"/>
                    </a:xfrm>
                    <a:prstGeom prst="rect">
                      <a:avLst/>
                    </a:prstGeom>
                    <a:noFill/>
                    <a:ln>
                      <a:noFill/>
                    </a:ln>
                  </pic:spPr>
                </pic:pic>
              </a:graphicData>
            </a:graphic>
          </wp:anchor>
        </w:drawing>
      </w:r>
      <w:r>
        <w:rPr>
          <w:rFonts w:hint="eastAsia" w:ascii="方正小标宋简体" w:hAnsi="方正小标宋简体" w:eastAsia="方正小标宋简体" w:cs="方正小标宋简体"/>
          <w:sz w:val="40"/>
          <w:szCs w:val="40"/>
          <w:highlight w:val="none"/>
          <w:lang w:val="en-US" w:eastAsia="zh-CN"/>
        </w:rPr>
        <w:t>长江证券股份有限公司</w:t>
      </w:r>
      <w:r>
        <w:rPr>
          <w:rFonts w:hint="eastAsia" w:ascii="方正小标宋简体" w:hAnsi="方正小标宋简体" w:eastAsia="方正小标宋简体" w:cs="方正小标宋简体"/>
          <w:sz w:val="40"/>
          <w:szCs w:val="40"/>
          <w:highlight w:val="none"/>
        </w:rPr>
        <w:t>债券市场</w:t>
      </w:r>
      <w:r>
        <w:rPr>
          <w:rFonts w:hint="eastAsia" w:ascii="方正小标宋简体" w:hAnsi="方正小标宋简体" w:eastAsia="方正小标宋简体" w:cs="方正小标宋简体"/>
          <w:sz w:val="40"/>
          <w:szCs w:val="40"/>
          <w:highlight w:val="none"/>
          <w:lang w:eastAsia="zh-CN"/>
        </w:rPr>
        <w:t>投资者</w:t>
      </w:r>
      <w:r>
        <w:rPr>
          <w:rFonts w:hint="eastAsia" w:ascii="方正小标宋简体" w:hAnsi="方正小标宋简体" w:eastAsia="方正小标宋简体" w:cs="方正小标宋简体"/>
          <w:sz w:val="40"/>
          <w:szCs w:val="40"/>
          <w:highlight w:val="none"/>
        </w:rPr>
        <w:t>风险揭示书</w:t>
      </w:r>
    </w:p>
    <w:p>
      <w:pPr>
        <w:keepNext w:val="0"/>
        <w:keepLines w:val="0"/>
        <w:pageBreakBefore w:val="0"/>
        <w:widowControl w:val="0"/>
        <w:kinsoku/>
        <w:wordWrap/>
        <w:overflowPunct/>
        <w:topLinePunct w:val="0"/>
        <w:autoSpaceDE/>
        <w:autoSpaceDN/>
        <w:bidi w:val="0"/>
        <w:adjustRightInd/>
        <w:snapToGrid/>
        <w:spacing w:line="440" w:lineRule="exact"/>
        <w:ind w:left="-880" w:leftChars="-400" w:right="-609" w:rightChars="-277" w:firstLine="420" w:firstLineChars="175"/>
        <w:textAlignment w:val="auto"/>
        <w:rPr>
          <w:rFonts w:hint="eastAsia" w:ascii="微软雅黑" w:hAnsi="微软雅黑" w:eastAsia="微软雅黑" w:cs="微软雅黑"/>
          <w:b w:val="0"/>
          <w:bCs w:val="0"/>
          <w:sz w:val="24"/>
          <w:szCs w:val="24"/>
          <w:highlight w:val="none"/>
        </w:rPr>
      </w:pPr>
      <w:r>
        <w:rPr>
          <w:rFonts w:hint="eastAsia" w:ascii="微软雅黑" w:hAnsi="微软雅黑" w:eastAsia="微软雅黑" w:cs="微软雅黑"/>
          <w:b w:val="0"/>
          <w:bCs w:val="0"/>
          <w:sz w:val="24"/>
          <w:szCs w:val="24"/>
          <w:highlight w:val="none"/>
          <w:lang w:val="en-US" w:eastAsia="zh-CN"/>
        </w:rPr>
        <w:t>为使投资者充分了解交易所债券和资产支持证券认购及交易的风险，投资者参与</w:t>
      </w:r>
      <w:r>
        <w:rPr>
          <w:rFonts w:hint="eastAsia" w:ascii="微软雅黑" w:hAnsi="微软雅黑" w:eastAsia="微软雅黑" w:cs="微软雅黑"/>
          <w:b w:val="0"/>
          <w:bCs w:val="0"/>
          <w:sz w:val="24"/>
          <w:szCs w:val="24"/>
          <w:lang w:val="en-US" w:eastAsia="zh-CN"/>
        </w:rPr>
        <w:t>债券</w:t>
      </w:r>
      <w:r>
        <w:rPr>
          <w:rFonts w:hint="eastAsia" w:ascii="微软雅黑" w:hAnsi="微软雅黑" w:eastAsia="微软雅黑" w:cs="微软雅黑"/>
          <w:b w:val="0"/>
          <w:bCs w:val="0"/>
          <w:sz w:val="24"/>
          <w:szCs w:val="24"/>
          <w:highlight w:val="none"/>
          <w:lang w:val="en-US" w:eastAsia="zh-CN"/>
        </w:rPr>
        <w:t>和资产支持证券认购及交易前需签署《长江证券股份有限公司债券市场投资者风险揭示书》（以下简称《风险揭示书》），请投资者仔细阅读，充分知悉参与相关业务的各项风险。</w:t>
      </w:r>
      <w:r>
        <w:rPr>
          <w:rFonts w:hint="eastAsia" w:ascii="微软雅黑" w:hAnsi="微软雅黑" w:eastAsia="微软雅黑" w:cs="微软雅黑"/>
          <w:b w:val="0"/>
          <w:bCs w:val="0"/>
          <w:sz w:val="24"/>
          <w:szCs w:val="24"/>
          <w:highlight w:val="none"/>
        </w:rPr>
        <w:t>投资者应当充分理解参与相关业务应当具备的经济能力、专业知识和投资经验，全面评估自身的经济承受能力、投资经历、产品认知能力、风险控制能力、身体及心理承受能力等，审慎决定是否参与相关业务。投资者在本风险揭示书上签字，即表明投资者已经理解并愿意自行承担参与</w:t>
      </w:r>
      <w:r>
        <w:rPr>
          <w:rFonts w:hint="eastAsia" w:ascii="微软雅黑" w:hAnsi="微软雅黑" w:eastAsia="微软雅黑" w:cs="微软雅黑"/>
          <w:b w:val="0"/>
          <w:bCs w:val="0"/>
          <w:sz w:val="24"/>
          <w:szCs w:val="24"/>
          <w:highlight w:val="none"/>
          <w:lang w:val="en-US" w:eastAsia="zh-CN"/>
        </w:rPr>
        <w:t>该项业务</w:t>
      </w:r>
      <w:r>
        <w:rPr>
          <w:rFonts w:hint="eastAsia" w:ascii="微软雅黑" w:hAnsi="微软雅黑" w:eastAsia="微软雅黑" w:cs="微软雅黑"/>
          <w:b w:val="0"/>
          <w:bCs w:val="0"/>
          <w:sz w:val="24"/>
          <w:szCs w:val="24"/>
          <w:highlight w:val="none"/>
        </w:rPr>
        <w:t>的风险和损失。</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一、【总则】债券投资具有信用风险、市场风险、流动性风险、放大交易风险、质押券价值变动风险、政策风险及其他各类风险。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lang w:eastAsia="zh-CN"/>
        </w:rPr>
      </w:pPr>
      <w:r>
        <w:rPr>
          <w:rFonts w:hint="eastAsia" w:ascii="微软雅黑" w:hAnsi="微软雅黑" w:eastAsia="微软雅黑" w:cs="微软雅黑"/>
          <w:sz w:val="24"/>
          <w:szCs w:val="24"/>
          <w:highlight w:val="none"/>
        </w:rPr>
        <w:t>二、【投资者适当性】投资者应当根据自身的财务状况、投资的资金来源、实际需求</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投资损失后的损失计提、核销等承担损失方式以及内部制度（若为机构），审慎决定</w:t>
      </w:r>
      <w:r>
        <w:rPr>
          <w:rFonts w:hint="eastAsia" w:ascii="微软雅黑" w:hAnsi="微软雅黑" w:eastAsia="微软雅黑" w:cs="微软雅黑"/>
          <w:sz w:val="24"/>
          <w:szCs w:val="24"/>
          <w:highlight w:val="none"/>
          <w:lang w:val="en-US" w:eastAsia="zh-CN"/>
        </w:rPr>
        <w:t>是否</w:t>
      </w:r>
      <w:r>
        <w:rPr>
          <w:rFonts w:hint="eastAsia" w:ascii="微软雅黑" w:hAnsi="微软雅黑" w:eastAsia="微软雅黑" w:cs="微软雅黑"/>
          <w:sz w:val="24"/>
          <w:szCs w:val="24"/>
          <w:highlight w:val="none"/>
        </w:rPr>
        <w:t>参与债券</w:t>
      </w:r>
      <w:r>
        <w:rPr>
          <w:rFonts w:hint="eastAsia" w:ascii="微软雅黑" w:hAnsi="微软雅黑" w:eastAsia="微软雅黑" w:cs="微软雅黑"/>
          <w:sz w:val="24"/>
          <w:szCs w:val="24"/>
          <w:highlight w:val="none"/>
          <w:lang w:val="en-US" w:eastAsia="zh-CN"/>
        </w:rPr>
        <w:t>和资产支持证券</w:t>
      </w:r>
      <w:r>
        <w:rPr>
          <w:rFonts w:hint="eastAsia" w:ascii="微软雅黑" w:hAnsi="微软雅黑" w:eastAsia="微软雅黑" w:cs="微软雅黑"/>
          <w:sz w:val="24"/>
          <w:szCs w:val="24"/>
          <w:highlight w:val="none"/>
        </w:rPr>
        <w:t>交易。</w:t>
      </w:r>
      <w:r>
        <w:rPr>
          <w:rFonts w:hint="eastAsia" w:ascii="微软雅黑" w:hAnsi="微软雅黑" w:eastAsia="微软雅黑" w:cs="微软雅黑"/>
          <w:sz w:val="24"/>
          <w:szCs w:val="24"/>
          <w:highlight w:val="none"/>
          <w:lang w:eastAsia="zh-CN"/>
        </w:rPr>
        <w:t>投资者应当配合证券经营机构的投资者适当性管理工作，如实提供有效证明资料，不得采用提供虚假材料等手段规避投资者适当性管理要求。投资者所提供的信息发生重要变化、可能影响其分类的，应当及时告知证券经营机构。投资者不按照规定提供相关信息，提供信息不真实、不准确、不完整的，应当依法承担相应法律责任，证券经营机构拒绝向其销售产品或者提供服务。投资者不得以不符合投资者适当性标准为由拒绝承担认购及交易债券和资产支持证券的履约责任。</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三、【信用风险】债券发行人无法按期还本付息的风险。如果投资者购买或持有资信评级较低的信用债，将面临显著的信用风险。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四、【市场风险】由于市场环境或供求关系等因素导致的债券价格波动的风险。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五、【流动性风险】投资者在短期内无法以合理价格买入或卖出债券，从而遭受损失的风险。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六、【放大交易风险】投资人利用现券和回购两个品种进行债券投资的放大操作，从而放大投资损失的风险。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七、【质押券价值变动风险】投资者在参与质押式回购业务期间需要保证回购标准券足额。如果回购期间债券价格下跌，标准券折算率相应下调，融资方将面临标准券欠库风险。融资方需要及时补充质押券避免标准券不足。投资者在参与质押式协议回购业务期间可能存在质押券价值波动、分期偿还、分期摊还、司法冻结或扣划等情形导致质押券贬值或不足的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八、【操作风险】由于投资者操作失误，证券公司或结算代理人未履行职责等原因导致的操作风险。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九</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lang w:val="en-US" w:eastAsia="zh-CN"/>
        </w:rPr>
        <w:t>触发追保风险</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为有效防范债券的风险，本公司有权对债券设置较严格的</w:t>
      </w:r>
      <w:r>
        <w:rPr>
          <w:rFonts w:hint="eastAsia" w:ascii="微软雅黑" w:hAnsi="微软雅黑" w:eastAsia="微软雅黑" w:cs="微软雅黑"/>
          <w:sz w:val="24"/>
          <w:szCs w:val="24"/>
          <w:highlight w:val="none"/>
          <w:lang w:val="en-US" w:eastAsia="zh-CN"/>
        </w:rPr>
        <w:t>可充抵保证金证券</w:t>
      </w:r>
      <w:r>
        <w:rPr>
          <w:rFonts w:hint="eastAsia" w:ascii="微软雅黑" w:hAnsi="微软雅黑" w:eastAsia="微软雅黑" w:cs="微软雅黑"/>
          <w:sz w:val="24"/>
          <w:szCs w:val="24"/>
          <w:highlight w:val="none"/>
        </w:rPr>
        <w:t>范围</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证券市值折扣率</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rPr>
        <w:t>持仓集中度等风险控制指标，可能因此无法完全满足投资者的融资融券交易需求，对投资者的交易决策可能产生一定影响</w:t>
      </w:r>
      <w:r>
        <w:rPr>
          <w:rFonts w:hint="eastAsia" w:ascii="微软雅黑" w:hAnsi="微软雅黑" w:eastAsia="微软雅黑" w:cs="微软雅黑"/>
          <w:sz w:val="24"/>
          <w:szCs w:val="24"/>
          <w:highlight w:val="none"/>
          <w:lang w:val="en-US" w:eastAsia="zh-CN"/>
        </w:rPr>
        <w:t>，</w:t>
      </w:r>
      <w:r>
        <w:rPr>
          <w:rFonts w:hint="eastAsia" w:ascii="微软雅黑" w:hAnsi="微软雅黑" w:eastAsia="微软雅黑" w:cs="微软雅黑"/>
          <w:sz w:val="24"/>
          <w:szCs w:val="24"/>
          <w:highlight w:val="none"/>
        </w:rPr>
        <w:t>上述标准将通过本公司官网公告等方式予以告知，请投资者及时关注本公司发布的相关公告</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lang w:val="en-US" w:eastAsia="zh-CN"/>
        </w:rPr>
        <w:t>同时当债券</w:t>
      </w:r>
      <w:r>
        <w:rPr>
          <w:rFonts w:hint="eastAsia" w:ascii="微软雅黑" w:hAnsi="微软雅黑" w:eastAsia="微软雅黑" w:cs="微软雅黑"/>
          <w:sz w:val="24"/>
          <w:szCs w:val="24"/>
          <w:highlight w:val="none"/>
        </w:rPr>
        <w:t>发生价格大幅度波动</w:t>
      </w:r>
      <w:r>
        <w:rPr>
          <w:rFonts w:hint="eastAsia" w:ascii="微软雅黑" w:hAnsi="微软雅黑" w:eastAsia="微软雅黑" w:cs="微软雅黑"/>
          <w:sz w:val="24"/>
          <w:szCs w:val="24"/>
          <w:highlight w:val="none"/>
          <w:lang w:val="en-US" w:eastAsia="zh-CN"/>
        </w:rPr>
        <w:t>时</w:t>
      </w:r>
      <w:r>
        <w:rPr>
          <w:rFonts w:hint="eastAsia" w:ascii="微软雅黑" w:hAnsi="微软雅黑" w:eastAsia="微软雅黑" w:cs="微软雅黑"/>
          <w:sz w:val="24"/>
          <w:szCs w:val="24"/>
          <w:highlight w:val="none"/>
        </w:rPr>
        <w:t>，会对信用账户维持担保比例造成较大影响，可能触发追保情形，由此可能</w:t>
      </w:r>
      <w:r>
        <w:rPr>
          <w:rFonts w:hint="eastAsia" w:ascii="微软雅黑" w:hAnsi="微软雅黑" w:eastAsia="微软雅黑" w:cs="微软雅黑"/>
          <w:sz w:val="24"/>
          <w:szCs w:val="24"/>
          <w:highlight w:val="none"/>
          <w:lang w:val="en-US" w:eastAsia="zh-CN"/>
        </w:rPr>
        <w:t>面临</w:t>
      </w:r>
      <w:r>
        <w:rPr>
          <w:rFonts w:hint="eastAsia" w:ascii="微软雅黑" w:hAnsi="微软雅黑" w:eastAsia="微软雅黑" w:cs="微软雅黑"/>
          <w:sz w:val="24"/>
          <w:szCs w:val="24"/>
          <w:highlight w:val="none"/>
        </w:rPr>
        <w:t>损失</w:t>
      </w:r>
      <w:r>
        <w:rPr>
          <w:rFonts w:hint="eastAsia" w:ascii="微软雅黑" w:hAnsi="微软雅黑" w:eastAsia="微软雅黑" w:cs="微软雅黑"/>
          <w:sz w:val="24"/>
          <w:szCs w:val="24"/>
          <w:highlight w:val="none"/>
          <w:lang w:val="en-US" w:eastAsia="zh-CN"/>
        </w:rPr>
        <w:t>的风险</w:t>
      </w:r>
      <w:r>
        <w:rPr>
          <w:rFonts w:hint="eastAsia" w:ascii="微软雅黑" w:hAnsi="微软雅黑" w:eastAsia="微软雅黑" w:cs="微软雅黑"/>
          <w:sz w:val="24"/>
          <w:szCs w:val="24"/>
          <w:highlight w:val="none"/>
        </w:rPr>
        <w:t>。</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十</w:t>
      </w:r>
      <w:r>
        <w:rPr>
          <w:rFonts w:hint="eastAsia" w:ascii="微软雅黑" w:hAnsi="微软雅黑" w:eastAsia="微软雅黑" w:cs="微软雅黑"/>
          <w:sz w:val="24"/>
          <w:szCs w:val="24"/>
          <w:highlight w:val="none"/>
        </w:rPr>
        <w:t>、【政策风险】由于国家法律、法规、政策、交易所规则的变化、修改等原因，可能会对投资者的交易产生不利影响，甚至造成经济损失。对于因交易所制定、修改业务规则或者根据业务规则履行自律监管职责等造成的损失，交易所不承担责任。</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宋体" w:hAnsi="宋体"/>
          <w:sz w:val="24"/>
          <w:szCs w:val="24"/>
          <w:highlight w:val="none"/>
        </w:rPr>
      </w:pPr>
      <w:r>
        <w:rPr>
          <w:rFonts w:hint="eastAsia" w:ascii="微软雅黑" w:hAnsi="微软雅黑" w:eastAsia="微软雅黑" w:cs="微软雅黑"/>
          <w:sz w:val="24"/>
          <w:szCs w:val="24"/>
          <w:highlight w:val="none"/>
        </w:rPr>
        <w:t>十</w:t>
      </w:r>
      <w:r>
        <w:rPr>
          <w:rFonts w:hint="eastAsia" w:ascii="微软雅黑" w:hAnsi="微软雅黑" w:eastAsia="微软雅黑" w:cs="微软雅黑"/>
          <w:sz w:val="24"/>
          <w:szCs w:val="24"/>
          <w:highlight w:val="none"/>
          <w:lang w:val="en-US" w:eastAsia="zh-CN"/>
        </w:rPr>
        <w:t>一</w:t>
      </w:r>
      <w:r>
        <w:rPr>
          <w:rFonts w:hint="eastAsia" w:ascii="微软雅黑" w:hAnsi="微软雅黑" w:eastAsia="微软雅黑" w:cs="微软雅黑"/>
          <w:sz w:val="24"/>
          <w:szCs w:val="24"/>
          <w:highlight w:val="none"/>
        </w:rPr>
        <w:t>、【不可抗力风险】因出现火灾、地震、瘟疫、社会动乱等不能预见、避免或克服的不可抗力情形给投资者造成的风险。</w:t>
      </w:r>
    </w:p>
    <w:p>
      <w:pPr>
        <w:keepNext w:val="0"/>
        <w:keepLines w:val="0"/>
        <w:pageBreakBefore w:val="0"/>
        <w:widowControl w:val="0"/>
        <w:kinsoku/>
        <w:wordWrap/>
        <w:overflowPunct/>
        <w:topLinePunct w:val="0"/>
        <w:autoSpaceDE w:val="0"/>
        <w:autoSpaceDN w:val="0"/>
        <w:bidi w:val="0"/>
        <w:adjustRightInd w:val="0"/>
        <w:snapToGrid/>
        <w:spacing w:line="420" w:lineRule="exact"/>
        <w:ind w:left="-880" w:leftChars="-400" w:right="-609" w:rightChars="-277" w:firstLine="420" w:firstLineChars="175"/>
        <w:textAlignment w:val="auto"/>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本风险揭示书的揭示事项仅为列举性质，未能详尽列明债券交易的所有风险。投资者在参与债券交易前，应认真阅读债券上市说明书以及交易所相关业务规则，并做好风险评估与财务安排，确定自身有足够的风险承受能力，避免因参与债券交易而遭受难以承受的损失。投资者阅读并签署本《风险揭示书》，即表明投资者已经理解并愿意自行承担参与</w:t>
      </w:r>
      <w:r>
        <w:rPr>
          <w:rFonts w:hint="eastAsia" w:cs="微软雅黑"/>
          <w:b/>
          <w:bCs/>
          <w:sz w:val="24"/>
          <w:szCs w:val="24"/>
          <w:highlight w:val="none"/>
          <w:lang w:val="en-US" w:eastAsia="zh-CN"/>
        </w:rPr>
        <w:t>该</w:t>
      </w:r>
      <w:r>
        <w:rPr>
          <w:rFonts w:hint="eastAsia" w:ascii="微软雅黑" w:hAnsi="微软雅黑" w:eastAsia="微软雅黑" w:cs="微软雅黑"/>
          <w:b/>
          <w:bCs/>
          <w:sz w:val="24"/>
          <w:szCs w:val="24"/>
          <w:highlight w:val="none"/>
        </w:rPr>
        <w:t>业务的风险和损失。投资者为机构的，应当由法定代表人或者其授权代理人签署。投资者为资产管理、理财等产品的，由产品管理人的法定代表人或者其授权代理人签署。</w:t>
      </w:r>
    </w:p>
    <w:p>
      <w:pPr>
        <w:keepNext w:val="0"/>
        <w:keepLines w:val="0"/>
        <w:pageBreakBefore w:val="0"/>
        <w:widowControl w:val="0"/>
        <w:tabs>
          <w:tab w:val="left" w:pos="6957"/>
        </w:tabs>
        <w:kinsoku/>
        <w:wordWrap/>
        <w:overflowPunct/>
        <w:topLinePunct w:val="0"/>
        <w:autoSpaceDE/>
        <w:autoSpaceDN/>
        <w:bidi w:val="0"/>
        <w:adjustRightInd/>
        <w:snapToGrid/>
        <w:spacing w:line="440" w:lineRule="exact"/>
        <w:ind w:left="-880" w:leftChars="-400" w:right="-609" w:rightChars="-277" w:firstLine="420" w:firstLineChars="175"/>
        <w:textAlignment w:val="auto"/>
        <w:rPr>
          <w:rFonts w:hint="eastAsia" w:ascii="微软雅黑" w:hAnsi="微软雅黑" w:eastAsia="微软雅黑" w:cs="微软雅黑"/>
          <w:b/>
          <w:bCs/>
          <w:kern w:val="0"/>
          <w:sz w:val="24"/>
          <w:szCs w:val="24"/>
          <w:highlight w:val="none"/>
          <w:lang w:eastAsia="zh-CN"/>
        </w:rPr>
      </w:pPr>
    </w:p>
    <w:p>
      <w:pPr>
        <w:keepNext w:val="0"/>
        <w:keepLines w:val="0"/>
        <w:pageBreakBefore w:val="0"/>
        <w:widowControl w:val="0"/>
        <w:tabs>
          <w:tab w:val="left" w:pos="6957"/>
        </w:tabs>
        <w:kinsoku/>
        <w:wordWrap/>
        <w:overflowPunct/>
        <w:topLinePunct w:val="0"/>
        <w:autoSpaceDE/>
        <w:autoSpaceDN/>
        <w:bidi w:val="0"/>
        <w:adjustRightInd/>
        <w:snapToGrid/>
        <w:spacing w:line="440" w:lineRule="exact"/>
        <w:ind w:left="-880" w:leftChars="-400" w:right="-609" w:rightChars="-277" w:firstLine="420" w:firstLineChars="175"/>
        <w:textAlignment w:val="auto"/>
        <w:rPr>
          <w:rFonts w:hint="eastAsia" w:ascii="宋体" w:hAnsi="宋体"/>
          <w:b/>
          <w:highlight w:val="none"/>
        </w:rPr>
      </w:pPr>
      <w:r>
        <w:rPr>
          <w:rFonts w:hint="eastAsia" w:ascii="微软雅黑" w:hAnsi="微软雅黑" w:eastAsia="微软雅黑" w:cs="微软雅黑"/>
          <w:b/>
          <w:bCs/>
          <w:kern w:val="0"/>
          <w:sz w:val="24"/>
          <w:szCs w:val="24"/>
          <w:highlight w:val="none"/>
          <w:lang w:eastAsia="zh-CN"/>
        </w:rPr>
        <w:t>客户声明及确认：</w:t>
      </w:r>
    </w:p>
    <w:p>
      <w:pPr>
        <w:keepNext w:val="0"/>
        <w:keepLines w:val="0"/>
        <w:pageBreakBefore w:val="0"/>
        <w:widowControl w:val="0"/>
        <w:tabs>
          <w:tab w:val="left" w:pos="6957"/>
        </w:tabs>
        <w:kinsoku/>
        <w:wordWrap/>
        <w:overflowPunct/>
        <w:topLinePunct w:val="0"/>
        <w:autoSpaceDE/>
        <w:autoSpaceDN/>
        <w:bidi w:val="0"/>
        <w:adjustRightInd/>
        <w:snapToGrid/>
        <w:spacing w:line="440" w:lineRule="exact"/>
        <w:ind w:left="-880" w:leftChars="-400" w:right="-609" w:rightChars="-277" w:firstLine="420" w:firstLineChars="175"/>
        <w:textAlignment w:val="auto"/>
        <w:rPr>
          <w:rFonts w:hint="eastAsia" w:ascii="微软雅黑" w:hAnsi="微软雅黑" w:eastAsia="微软雅黑" w:cs="微软雅黑"/>
          <w:b/>
          <w:bCs/>
          <w:color w:val="auto"/>
          <w:sz w:val="24"/>
          <w:szCs w:val="24"/>
          <w:highlight w:val="none"/>
          <w:vertAlign w:val="baseline"/>
          <w:lang w:val="en-US" w:eastAsia="zh-CN"/>
        </w:rPr>
      </w:pPr>
      <w:r>
        <w:rPr>
          <w:rFonts w:hint="eastAsia" w:ascii="微软雅黑" w:hAnsi="微软雅黑" w:eastAsia="微软雅黑" w:cs="微软雅黑"/>
          <w:b/>
          <w:bCs/>
          <w:color w:val="auto"/>
          <w:sz w:val="24"/>
          <w:szCs w:val="24"/>
          <w:highlight w:val="none"/>
          <w:vertAlign w:val="baseline"/>
          <w:lang w:val="en-US" w:eastAsia="zh-CN"/>
        </w:rPr>
        <w:t>本人/本机构自愿参与债券和资产支持证券认购和交易业务，已仔细阅读并理解上述内容，完全同意和接受该《风险知悉书》全部条款和内容，承诺自愿承担债券和资产支持证券的投资风险及由此产生的法律后果，承诺将依法、理性参与违约处置程序，维护自身合法权益。本人/本机构将关注长江证券后续更新风险揭示书版本情况，若对新版风险揭示书修订事项无法理解或无法自行承担相应风险和损失的，则不再参与相关业务并及时告知长江证券。本人/本机构同意办理结果以最终反馈信息为准。</w:t>
      </w:r>
    </w:p>
    <w:p>
      <w:pPr>
        <w:keepNext w:val="0"/>
        <w:keepLines w:val="0"/>
        <w:pageBreakBefore w:val="0"/>
        <w:widowControl w:val="0"/>
        <w:tabs>
          <w:tab w:val="left" w:pos="6957"/>
        </w:tabs>
        <w:kinsoku/>
        <w:wordWrap/>
        <w:overflowPunct/>
        <w:topLinePunct w:val="0"/>
        <w:autoSpaceDE/>
        <w:autoSpaceDN/>
        <w:bidi w:val="0"/>
        <w:adjustRightInd/>
        <w:snapToGrid/>
        <w:spacing w:line="440" w:lineRule="exact"/>
        <w:ind w:left="-880" w:leftChars="-400" w:right="-609" w:rightChars="-277" w:firstLine="420" w:firstLineChars="175"/>
        <w:textAlignment w:val="auto"/>
        <w:rPr>
          <w:rFonts w:hint="eastAsia" w:ascii="宋体" w:hAnsi="宋体"/>
          <w:b/>
          <w:bCs/>
          <w:color w:val="000000"/>
          <w:sz w:val="28"/>
          <w:szCs w:val="28"/>
          <w:highlight w:val="none"/>
        </w:rPr>
      </w:pPr>
      <w:r>
        <w:rPr>
          <w:rFonts w:hint="eastAsia" w:ascii="微软雅黑" w:hAnsi="微软雅黑" w:eastAsia="微软雅黑" w:cs="微软雅黑"/>
          <w:b/>
          <w:bCs/>
          <w:color w:val="FF0000"/>
          <w:sz w:val="24"/>
          <w:szCs w:val="24"/>
          <w:highlight w:val="none"/>
          <w:vertAlign w:val="baseline"/>
          <w:lang w:val="en-US" w:eastAsia="zh-CN"/>
        </w:rPr>
        <w:t>本人/本机构承诺资金来源合法合规，</w:t>
      </w:r>
      <w:r>
        <w:rPr>
          <w:rFonts w:hint="eastAsia"/>
          <w:b/>
          <w:color w:val="FF0000"/>
          <w:spacing w:val="-6"/>
          <w:sz w:val="24"/>
          <w:szCs w:val="24"/>
        </w:rPr>
        <w:t>资产系自有资产或合法管理的资产</w:t>
      </w:r>
      <w:r>
        <w:rPr>
          <w:rFonts w:hint="eastAsia" w:ascii="微软雅黑" w:hAnsi="微软雅黑" w:eastAsia="微软雅黑" w:cs="微软雅黑"/>
          <w:b/>
          <w:bCs/>
          <w:color w:val="FF0000"/>
          <w:sz w:val="24"/>
          <w:szCs w:val="24"/>
          <w:highlight w:val="none"/>
          <w:vertAlign w:val="baseline"/>
          <w:lang w:val="en-US" w:eastAsia="zh-CN"/>
        </w:rPr>
        <w:t>；提供资料及证明等信息全部真实、合法、有效、完整；承诺合法合规参与证券投资，维护正常交易秩序。如发生交易所认定的异常交易行为、提供资料虚假、资金来源不合法等涉嫌违法违规的行为，本人/本机构同意长江证券对其账户采取包括但不限于限制买入或卖出、取消权限或账户冻结等措施。</w:t>
      </w:r>
    </w:p>
    <w:p>
      <w:pPr>
        <w:spacing w:before="156" w:beforeLines="50" w:line="340" w:lineRule="exact"/>
        <w:ind w:left="-440" w:leftChars="-200" w:right="-537" w:rightChars="-244" w:firstLine="0" w:firstLineChars="0"/>
        <w:jc w:val="left"/>
        <w:rPr>
          <w:rFonts w:hint="eastAsia" w:ascii="微软雅黑" w:hAnsi="微软雅黑" w:eastAsia="微软雅黑" w:cs="微软雅黑"/>
          <w:b/>
          <w:bCs/>
          <w:color w:val="000000"/>
          <w:sz w:val="24"/>
          <w:szCs w:val="24"/>
          <w:highlight w:val="none"/>
        </w:rPr>
      </w:pPr>
    </w:p>
    <w:p>
      <w:pPr>
        <w:spacing w:before="156" w:beforeLines="50" w:line="340" w:lineRule="exact"/>
        <w:ind w:left="-440" w:leftChars="-200" w:right="-537" w:rightChars="-244" w:firstLine="0" w:firstLineChars="0"/>
        <w:jc w:val="left"/>
        <w:rPr>
          <w:rFonts w:hint="eastAsia" w:ascii="微软雅黑" w:hAnsi="微软雅黑" w:eastAsia="微软雅黑" w:cs="微软雅黑"/>
          <w:b/>
          <w:bCs/>
          <w:color w:val="000000"/>
          <w:sz w:val="24"/>
          <w:szCs w:val="24"/>
          <w:highlight w:val="none"/>
        </w:rPr>
      </w:pPr>
      <w:r>
        <w:rPr>
          <w:rFonts w:hint="eastAsia" w:ascii="微软雅黑" w:hAnsi="微软雅黑" w:eastAsia="微软雅黑" w:cs="微软雅黑"/>
          <w:b/>
          <w:bCs/>
          <w:color w:val="000000"/>
          <w:sz w:val="24"/>
          <w:szCs w:val="24"/>
          <w:highlight w:val="none"/>
        </w:rPr>
        <w:t>证券账户（上海）：</w:t>
      </w:r>
      <w:r>
        <w:rPr>
          <w:rFonts w:hint="eastAsia" w:ascii="微软雅黑" w:hAnsi="微软雅黑" w:eastAsia="微软雅黑" w:cs="微软雅黑"/>
          <w:b/>
          <w:bCs/>
          <w:color w:val="000000"/>
          <w:sz w:val="24"/>
          <w:szCs w:val="24"/>
          <w:highlight w:val="none"/>
          <w:u w:val="single"/>
        </w:rPr>
        <w:t>　　　　　　</w:t>
      </w:r>
      <w:r>
        <w:rPr>
          <w:rFonts w:hint="eastAsia" w:ascii="微软雅黑" w:hAnsi="微软雅黑" w:eastAsia="微软雅黑" w:cs="微软雅黑"/>
          <w:b/>
          <w:bCs/>
          <w:color w:val="000000"/>
          <w:sz w:val="24"/>
          <w:szCs w:val="24"/>
          <w:highlight w:val="none"/>
        </w:rPr>
        <w:t>（</w:t>
      </w:r>
      <w:bookmarkStart w:id="0" w:name="_GoBack"/>
      <w:bookmarkEnd w:id="0"/>
      <w:r>
        <w:rPr>
          <w:rFonts w:hint="eastAsia" w:ascii="微软雅黑" w:hAnsi="微软雅黑" w:eastAsia="微软雅黑" w:cs="微软雅黑"/>
          <w:b/>
          <w:bCs/>
          <w:color w:val="000000"/>
          <w:sz w:val="24"/>
          <w:szCs w:val="24"/>
          <w:highlight w:val="none"/>
        </w:rPr>
        <w:t>深圳）：</w:t>
      </w:r>
      <w:r>
        <w:rPr>
          <w:rFonts w:hint="eastAsia" w:ascii="微软雅黑" w:hAnsi="微软雅黑" w:eastAsia="微软雅黑" w:cs="微软雅黑"/>
          <w:b/>
          <w:bCs/>
          <w:color w:val="000000"/>
          <w:sz w:val="24"/>
          <w:szCs w:val="24"/>
          <w:highlight w:val="none"/>
          <w:u w:val="single"/>
        </w:rPr>
        <w:t>　　　　　</w:t>
      </w:r>
      <w:r>
        <w:rPr>
          <w:rFonts w:hint="eastAsia" w:cs="微软雅黑"/>
          <w:b/>
          <w:bCs/>
          <w:color w:val="000000"/>
          <w:sz w:val="24"/>
          <w:szCs w:val="24"/>
          <w:highlight w:val="none"/>
          <w:u w:val="none"/>
          <w:lang w:val="en-US" w:eastAsia="zh-CN"/>
        </w:rPr>
        <w:t xml:space="preserve">  (北京市场)：</w:t>
      </w:r>
      <w:r>
        <w:rPr>
          <w:rFonts w:hint="eastAsia" w:ascii="微软雅黑" w:hAnsi="微软雅黑" w:eastAsia="微软雅黑" w:cs="微软雅黑"/>
          <w:b/>
          <w:bCs/>
          <w:color w:val="000000"/>
          <w:sz w:val="24"/>
          <w:szCs w:val="24"/>
          <w:highlight w:val="none"/>
          <w:u w:val="single"/>
        </w:rPr>
        <w:t>　　　　　　</w:t>
      </w:r>
      <w:r>
        <w:rPr>
          <w:rFonts w:hint="eastAsia" w:ascii="微软雅黑" w:hAnsi="微软雅黑" w:eastAsia="微软雅黑" w:cs="微软雅黑"/>
          <w:b/>
          <w:bCs/>
          <w:color w:val="000000"/>
          <w:sz w:val="24"/>
          <w:szCs w:val="24"/>
          <w:highlight w:val="none"/>
        </w:rPr>
        <w:t>　　</w:t>
      </w:r>
    </w:p>
    <w:p>
      <w:pPr>
        <w:spacing w:before="156" w:beforeLines="50" w:line="340" w:lineRule="exact"/>
        <w:ind w:left="-440" w:leftChars="-200" w:right="-537" w:rightChars="-244" w:firstLine="0" w:firstLineChars="0"/>
        <w:jc w:val="left"/>
        <w:rPr>
          <w:rFonts w:hint="eastAsia" w:ascii="微软雅黑" w:hAnsi="微软雅黑" w:eastAsia="微软雅黑" w:cs="微软雅黑"/>
          <w:b/>
          <w:bCs/>
          <w:color w:val="000000"/>
          <w:sz w:val="24"/>
          <w:szCs w:val="24"/>
          <w:highlight w:val="none"/>
        </w:rPr>
      </w:pPr>
    </w:p>
    <w:p>
      <w:pPr>
        <w:spacing w:before="156" w:beforeLines="50" w:line="340" w:lineRule="exact"/>
        <w:ind w:left="-440" w:leftChars="-200" w:right="-537" w:rightChars="-244" w:firstLine="0" w:firstLineChars="0"/>
        <w:jc w:val="left"/>
      </w:pPr>
      <w:r>
        <w:rPr>
          <w:rFonts w:hint="eastAsia" w:ascii="微软雅黑" w:hAnsi="微软雅黑" w:eastAsia="微软雅黑" w:cs="微软雅黑"/>
          <w:b/>
          <w:bCs/>
          <w:color w:val="000000"/>
          <w:sz w:val="24"/>
          <w:szCs w:val="24"/>
          <w:highlight w:val="none"/>
        </w:rPr>
        <w:t>投资者（签章）：</w:t>
      </w:r>
      <w:r>
        <w:rPr>
          <w:rFonts w:hint="eastAsia" w:ascii="微软雅黑" w:hAnsi="微软雅黑" w:eastAsia="微软雅黑" w:cs="微软雅黑"/>
          <w:b/>
          <w:bCs/>
          <w:color w:val="000000"/>
          <w:sz w:val="24"/>
          <w:szCs w:val="24"/>
          <w:highlight w:val="none"/>
          <w:u w:val="single"/>
        </w:rPr>
        <w:t>　　　　　　　　　</w:t>
      </w:r>
      <w:r>
        <w:rPr>
          <w:rFonts w:hint="eastAsia" w:ascii="微软雅黑" w:hAnsi="微软雅黑" w:eastAsia="微软雅黑" w:cs="微软雅黑"/>
          <w:b/>
          <w:bCs/>
          <w:color w:val="000000"/>
          <w:sz w:val="24"/>
          <w:szCs w:val="24"/>
          <w:highlight w:val="none"/>
        </w:rPr>
        <w:t>　 签署日期：    年</w:t>
      </w:r>
      <w:r>
        <w:rPr>
          <w:rFonts w:hint="eastAsia" w:cs="微软雅黑"/>
          <w:b/>
          <w:bCs/>
          <w:color w:val="000000"/>
          <w:sz w:val="24"/>
          <w:szCs w:val="24"/>
          <w:highlight w:val="none"/>
          <w:lang w:val="en-US" w:eastAsia="zh-CN"/>
        </w:rPr>
        <w:t xml:space="preserve"> </w:t>
      </w:r>
      <w:r>
        <w:rPr>
          <w:rFonts w:hint="eastAsia" w:ascii="微软雅黑" w:hAnsi="微软雅黑" w:eastAsia="微软雅黑" w:cs="微软雅黑"/>
          <w:b/>
          <w:bCs/>
          <w:color w:val="000000"/>
          <w:sz w:val="24"/>
          <w:szCs w:val="24"/>
          <w:highlight w:val="none"/>
        </w:rPr>
        <w:t xml:space="preserve">    月 </w:t>
      </w:r>
      <w:r>
        <w:rPr>
          <w:rFonts w:hint="eastAsia" w:cs="微软雅黑"/>
          <w:b/>
          <w:bCs/>
          <w:color w:val="000000"/>
          <w:sz w:val="24"/>
          <w:szCs w:val="24"/>
          <w:highlight w:val="none"/>
          <w:lang w:val="en-US" w:eastAsia="zh-CN"/>
        </w:rPr>
        <w:t xml:space="preserve"> </w:t>
      </w:r>
      <w:r>
        <w:rPr>
          <w:rFonts w:hint="eastAsia" w:ascii="微软雅黑" w:hAnsi="微软雅黑" w:eastAsia="微软雅黑" w:cs="微软雅黑"/>
          <w:b/>
          <w:bCs/>
          <w:color w:val="000000"/>
          <w:sz w:val="24"/>
          <w:szCs w:val="24"/>
          <w:highlight w:val="none"/>
        </w:rPr>
        <w:t xml:space="preserve">  日</w:t>
      </w:r>
    </w:p>
    <w:p>
      <w:pPr>
        <w:pStyle w:val="3"/>
        <w:snapToGrid w:val="0"/>
        <w:rPr>
          <w:rFonts w:hint="eastAsia" w:ascii="微软雅黑" w:hAnsi="微软雅黑" w:eastAsia="微软雅黑" w:cs="微软雅黑"/>
          <w:b w:val="0"/>
          <w:bCs w:val="0"/>
          <w:sz w:val="24"/>
          <w:szCs w:val="24"/>
          <w:highlight w:val="none"/>
          <w:lang w:val="en-US" w:eastAsia="zh-CN"/>
        </w:rPr>
      </w:pPr>
    </w:p>
    <w:p>
      <w:pPr>
        <w:spacing w:before="126"/>
        <w:ind w:left="120" w:right="0" w:firstLine="0"/>
        <w:jc w:val="left"/>
        <w:rPr>
          <w:sz w:val="24"/>
        </w:rPr>
      </w:pPr>
    </w:p>
    <w:p>
      <w:pPr>
        <w:spacing w:before="126"/>
        <w:ind w:left="120" w:right="0" w:firstLine="0"/>
        <w:jc w:val="left"/>
        <w:rPr>
          <w:sz w:val="24"/>
        </w:rPr>
      </w:pPr>
      <w:r>
        <w:rPr>
          <w:sz w:val="24"/>
        </w:rPr>
        <w:t>受理人：</w:t>
      </w:r>
    </w:p>
    <w:sectPr>
      <w:pgSz w:w="11910" w:h="16840"/>
      <w:pgMar w:top="1440" w:right="160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trackRevision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hODVjZjdlN2MzMGRiMzc1NGM1NTE0ZDA5YjFlYTUifQ=="/>
  </w:docVars>
  <w:rsids>
    <w:rsidRoot w:val="00000000"/>
    <w:rsid w:val="04354376"/>
    <w:rsid w:val="04CE0693"/>
    <w:rsid w:val="0C6B07C2"/>
    <w:rsid w:val="170E2152"/>
    <w:rsid w:val="285A7A57"/>
    <w:rsid w:val="2B2027B0"/>
    <w:rsid w:val="2B725E2F"/>
    <w:rsid w:val="2DD40FB2"/>
    <w:rsid w:val="37452D84"/>
    <w:rsid w:val="38062CB2"/>
    <w:rsid w:val="3946223C"/>
    <w:rsid w:val="3E6D1878"/>
    <w:rsid w:val="49C50358"/>
    <w:rsid w:val="4D6F22AA"/>
    <w:rsid w:val="57945E82"/>
    <w:rsid w:val="68A778A5"/>
    <w:rsid w:val="6AFF411A"/>
    <w:rsid w:val="71951821"/>
    <w:rsid w:val="76DD3B6F"/>
    <w:rsid w:val="76EE5A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微软雅黑" w:hAnsi="微软雅黑" w:eastAsia="微软雅黑" w:cs="微软雅黑"/>
      <w:sz w:val="22"/>
      <w:szCs w:val="22"/>
      <w:lang w:val="en-US" w:eastAsia="en-US" w:bidi="ar-SA"/>
    </w:rPr>
  </w:style>
  <w:style w:type="paragraph" w:styleId="2">
    <w:name w:val="heading 3"/>
    <w:basedOn w:val="1"/>
    <w:next w:val="1"/>
    <w:qFormat/>
    <w:uiPriority w:val="0"/>
    <w:pPr>
      <w:keepNext/>
      <w:keepLines/>
      <w:spacing w:before="120" w:beforeLines="0" w:after="120" w:afterLines="0" w:line="408" w:lineRule="auto"/>
      <w:outlineLvl w:val="2"/>
    </w:pPr>
    <w:rPr>
      <w:rFonts w:eastAsia="黑体"/>
      <w:kern w:val="2"/>
      <w:sz w:val="28"/>
      <w:szCs w:val="24"/>
      <w:lang w:val="en-US" w:eastAsia="zh-CN"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20" w:right="197" w:firstLine="480"/>
      <w:jc w:val="both"/>
    </w:pPr>
    <w:rPr>
      <w:rFonts w:ascii="微软雅黑" w:hAnsi="微软雅黑" w:eastAsia="微软雅黑" w:cs="微软雅黑"/>
      <w:b/>
      <w:bCs/>
      <w:sz w:val="24"/>
      <w:szCs w:val="24"/>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1737</Words>
  <Characters>1737</Characters>
  <TotalTime>3</TotalTime>
  <ScaleCrop>false</ScaleCrop>
  <LinksUpToDate>false</LinksUpToDate>
  <CharactersWithSpaces>1742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2023-02-18T04:49:00Z</dcterms:created>
  <dc:creator>LocalAccount</dc:creator>
  <cp:lastModifiedBy>liuhh</cp:lastModifiedBy>
  <dcterms:modified xsi:type="dcterms:W3CDTF">2023-11-06T00:42:41Z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2022-05-17T00:00:00Z</vt:filetime>
  </property>
  <property fmtid="{D5CDD505-2E9C-101B-9397-08002B2CF9AE}" pid="3" name="Creator">
    <vt:lpwstr>WPS 文字</vt:lpwstr>
  </property>
  <property fmtid="{D5CDD505-2E9C-101B-9397-08002B2CF9AE}" pid="4" name="LastSaved">
    <vt:filetime>2023-02-18T00:00:00Z</vt:filetime>
  </property>
  <property fmtid="{D5CDD505-2E9C-101B-9397-08002B2CF9AE}" pid="5" name="KSOProductBuildVer">
    <vt:lpwstr>2052-12.1.0.15712</vt:lpwstr>
  </property>
  <property fmtid="{D5CDD505-2E9C-101B-9397-08002B2CF9AE}" pid="6" name="ICV">
    <vt:lpwstr>D8423BB6191E4D31BFAEAD0EF0AB12DD_13</vt:lpwstr>
  </property>
</Properties>
</file>